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818147-О/2025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Первичной профсоюзной организации – Независимого профсоюза «Профсвобода» работников ОАО «Сургутнефтегаз» Межрегионального профсоюза работников нефте-газо- горнодобывающей и перерабатывающей промышленности Объединения профсоюзов России СОЦПРОФ на нарушение конституционных прав положениями статей 3, 57, 74, 135 и 150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Первичной профсоюзной организации – Независимого профсоюза «Профсвобода» работников ОАО «Сургутнефтегаз» Межрегионального профсоюза работников нефте-газо-горнодобывающей и перерабатывающей промышленности Объединения профсоюзов России СОЦПРОФ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Первичная профсоюзная организация – Независимый профсоюз «Профсвобода» работников ОАО «Сургутнефтегаз» Межрегионального профсоюза работников нефте-газо-горнодобывающей и перерабатывающей промышленности Объединения профсоюзов России СОЦПРОФ оспаривает 2 конституционность следующих положений Трудового кодекса Российской Федерации: статьи 3, запрещающей дискриминацию в сфере труда; статьи 57, а фактически абзаца пятого ее части второй, закрепляющего, что обязательными для включения в трудовой договор являются условия оплаты труда (в том числе размер тарифной ставки или оклада (должностного оклада) работника, доплаты, надбавки и поощрительные выплаты); статьи 74, регулирующей порядок изменения определенных сторонами условий трудового договора по причинам, связанным с изменением организационных или технологических условий труда; статьи 135, а фактически положений ее частей первой, второй и пятой, предусматривающих, что заработная плата работнику устанавливается трудовым договором в соответствии с действующими у данного работодателя системами оплаты труда;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права; условия оплаты труда, определенные трудовым договором, не могут быть ухудшены по сравнению с установленными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актами; статьи 150, а фактически ее части первой, согласно которой при выполнении работником с повременной оплатой труда работ различной квалификации его труд оплачивается по работе более высокой квалификации. По мнению заявителя, оспариваемые нормы противоречат Конституции Российской Федерации, в частности ее статьям 15, 19 и 37, поскольку позволяют включать в трудовой договор несколько тарифных ставок, а судам – 3 не признавать изменением трудового договора изменение размера часовой тарифной ставки и не применять положение статьи 150 Трудового кодекса Российской Федерации об оплате работ различной квалификации.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Первичной профсоюзной организации – Независимого профсоюза «Профсвобода» 6 работников ОАО «Сургутнефтегаз» Межрегионального профсоюза работников нефте-газо-горнодобывающей и перерабатывающей промышленности Объединения профсоюзов России СОЦПРОФ,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