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822508-О/2025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Табаки Анны Сергеевны на нарушение ее конституционных прав частями 1 и 2 статьи 10 Федерального закона «О противодействии коррупции», частью 5 статьи 511, а также частями 1 и 2 статьи 71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А.С.Табаки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А.С.Табака оспаривает конституционность следующих положений статьи 10 Федерального закона от 25 декабря 2008 года № 273-ФЗ «О противодействии коррупции»: части 1, согласно которой под конфликтом интересов в названном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2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 части 2, предусматривающей, что в части 1 данной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данной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данной статьи, и (или) лица, состоящие с ним в близком родстве или свойстве, связаны имущественными, корпоративными или иными близкими отношениями. Кроме того, заявительница считает не соответствующими Конституции Российской Федерации нормы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Федерации», а именно: часть 5 статьи 511, устанавливающую, что взыскания, предусмотренные статьями 501 и 821 данного Федерального закона, налагаются не позднее шести месяцев со дня поступления информации о совершении сотрудником органов внутренних дел коррупционного правонарушения, не считая периодов временной нетрудоспособности сотрудника, нахождения его в отпуске или командировке, и не позднее трех лет со дня совершения им коррупционного правонарушения; в указанные сроки не включается время производства по уголовному делу; части 1 и 2 статьи 71, закрепляющие, что для целей указанного Федерального закона используются понятия «конфликт интересов» и 3 «личная заинтересованность», установленные частями 1 и 2 статьи 10 Федерального закона «О противодействии коррупции». Как следует из представленных материалов, прокурор обратился к органу внутренних дел, где проходила службу А.С.Табака, с иском о признании незаконным бездействия должностных лиц данного органа и возложении на них обязанности по совершению определенных действий, вследствие чего судом было вынесено решение об обязании начальника заявительницы, участвовавшей в деле в качестве третьего лица, уволить ее в связи с утратой доверия ввиду несоблюдения ею добровольно принятых на себя обязательств по предотвращению и урегулированию конфликта интересов. По мнению заявительницы, оспариваемые нормы, примененные в ее деле судами общей юрисдикции, не соответствуют статьям 1 (часть 1), 4 (часть 2), 15 (части 1 и 2), 17, 19 (части 1 и 2), 32 (часть 5), 37 (часть 1), 45 (часть 1), 46 (часть 1), 49, 54 (часть 2) и 55 (часть 3) Конституции Российской Федерации в той мере, в какой в системе действующего правового регулирования по смыслу, придаваемому им правоприменительной практикой, предполагают возможность произвольного применения указанных законоположений, в том числе привлечения к ответственности за коррупционное правонарушение без установления факта его совершения и вины сотрудника органов внутренних дел в таком правонарушении. При этом неконституционность части 5 статьи 511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выражается также и в том, что названная норма, как полагает заявительница, допускает исчисление установленного ею срока не с момента совершения коррупционного правонарушения, а с момента окончания проверки, проведенной по итогам обращения прокурора в орган внутренних дел, допуская и возможность восстановления указанного срока.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противодействии коррупции», обязывая указанных в данном Федеральном законе лиц принимать меры по недопущению любой возможности возникновения конфликта интересов (часть 1 статьи 11), закрепляет для целей применения положений этого Федерального закона определения понятий «конфликт интересов» и «личная заинтересованность» (части 1 и 2 статьи 10). Приведенные законоположения направлены на повышение эффективности противодействия коррупции, основаны на принципах приоритетного применения мер по предупреждению коррупции и ориентированы на обеспечение безопасности государства (определения Конституционного Суда Российской Федерации от 26 марта 2019 года Часть 5 статьи 511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Федерации», предусматривающая сроки привлечения сотрудника органов внутренних дел к ответственности за совершение коррупционного правонарушения, имеет целью обеспечить 5 определенность правового положения привлекаемых к ответственности сотрудников и не допустить произвольного, в том числе без учета времени, прошедшего с момента совершения коррупционного правонарушения, применения взысканий и, следовательно, не может расцениваться как нарушающая права сотрудников органов внутренних дел. Указывая на неопределенность содержания оспариваемых норм и возможность их произвольного применения, в том числе при исчислении сроков наложения взысканий в связи с непринятием сотрудником органов внутренних дел мер по предотвращению и (или) урегулированию конфликта интересов, А.С.Табака выражает несогласие с оценкой ее поведения, которая была дана судами общей юрисдикции, рассматривавшими дело с ее участием, полагая, что в этом выражается нарушение ее прав. Однако разрешение вопроса о наличии оснований для увольнения заявительницы со службы в органах внутренних дел вследствие ненадлежащего исполнения ею обязанностей, установленных для нее законодательством,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Табаки Анны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