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823818-О/2025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Долгушиной Лидии Михайловны, Касьянюк Елены Евгеньевны и других на нарушение их конституционных прав пунктом 1 статьи 2019 Федерального закона «О несостоятельности (банкротстве)» во взаимосвязи с частями 16 и 17 статьи 16 Федерального закона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Л.М.Долгушиной, Е.Е.Касьянюк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Л.М.Долгушина, Е.Е.Касьянюк, В.П.Плешаков, А.А.Саркисян, Е.В.Уварова и Н.П.Хромова оспаривают конституционность пункта 1 статьи 2019 «Очередность удовлетворения требований кредиторов в деле о банкротстве застройщика» Федерального закона от 26 октября 2002 года № 127-ФЗ «О несостоятельности (банкротстве)» во взаимосвязи с частями 16 и 17 статьи 16 Федерального закона от 27 июня 2019 года № 151- ФЗ «О внесении изменений в Федеральный закон «Об участии в долевом 2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Федерации». Определением арбитражного суда, вынесенным в рамках дела о несостоятельности (банкротстве) застройщика и оставленным без изменения постановлениями судов апелляционной и кассационной инстанций, отказано в удовлетворении заявления А.А.Саркисяна об исключении требований хозяйственного общества о передаче жилых помещений из реестра требований кредиторов и о включении денежных требований названного лица в четвертую очередь данного реестра. Определением судьи Верховного Суда Российской Федерации Л.М.Долгушиной, Е.Е.Касьянюк, В.П.Плешакову, А.А.Саркисяну, Е.В.Уваровой и Н.П.Хромовой, являющимся кредиторами должника,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заявителей, оспариваемые законоположения противоречат статьям 2, 7, 19 (часть 1), 34 (часть 1), 35 (части 1 и 3), 55 (часть 3) и 751 Конституции Российской Федерации в той мере, в какой они в силу своей неопределенности и по смыслу, придаваемому им судебным толкованием, допускают исключение из реестра участников строительства требований юридических лиц о передаче жилых помещений и погашение указанных требований в составе четвертой очереди лишь в тех возбужденных до 27 июня 2019 года делах о банкротстве застройщиков, в которых к этому дню не начаты расчеты с кредиторами третьей очереди и в которых требования граждан – участников строительства погашены с использованием механизма передачи публично-правовой компании «Фонд развития территорий» прав и обязанностей застройщика-банкрота.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Долгушиной Лидии Михайловны, Касьянюк Елены Евгеньевны и других,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