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828817-О/2025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Гранкина Дмитрия Владимировича на нарушение его конституционных прав пунктами 1 и 2 статьи 613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Д.В.Гранкина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и оставленным без изменения постановлениями судов апелляционной и кассационной инстанций, были признаны недействительными сделки по отчуждению должником в пользу гражданина Д.В.Гранкина недвижимого имущества, применены последствия недействительности сделки. При этом суды исходили, в частности, из того, что совершение оспариваемых сделок повлекло преимущественное удовлетворение требований одного кредитора перед другими кредиторами. 2 Д.В.Гранкин оспаривает конституционность пунктов 1 и 2 статьи 613 «Оспаривание сделок должника, влекущих за собой оказание предпочтения одному из кредиторов перед другими кредиторами»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18, 19, 35, 45, 46 и 55 Конституции Российской Федерации в той мере, в какой они по смыслу, придаваемому им правоприменительной практикой, позволяют судам в рамках предоставленной им свободы усмотрения выносить различные судебные акты по аналогичным спорам, при этом преодолевая свойство обязательности вступившего в законную силу судебного акта, определившего правовой режим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Гранкина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