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808752-О/2024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«МетаХолдинг» на нарушение его конституционных прав рядом положений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акционерного общества «МетаХолдинг»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«МетаХолдинг» (далее – общество) оспаривает конституционность пункта 1 статьи 10 «Пределы осуществления гражданских прав», абзаца второго пункта 1 статьи 1493 «Защита нарушенных прав правообладателей», пункта 5 статьи 166 «Оспоримые и ничтожные сделки» и пункта 1 статьи 200 «Начало течения срока исковой давности» ГК Российской Федерации. Из представленных материалов следует, что решением арбитражного суда, оставленным без изменения судами вышестоящих инстанций, удовлетворены исковые требования заместителя Генерального прокурора Российской Федерации об истребовании в пользу Российской Федерации из 2 незаконного владения общества 281 672 929 акций АО «Метафракс Кемикалс» (ранее – АООТ «Метанол»), выпущенных в гражданский оборот в процессе приватизации Губахинского производственного объединения «Метанол» на основании распоряжения комитета по управлению имуществом Пермской области от 1 июля 1993 года и приобретенных на вторичном рынке обществом, созданным в 2016 году. При этом отклонены доводы общества о том, что оно является добросовестным приобретателем, от которого нельзя истребовать бездокументарные акции, и о необходимости в данном случае применить исковую давность, определяемую с учетом времени получения информации о спорной приватизации уполномоченными федеральными органами исполнительной власти в сфере распоряжения федеральным имуществом. По мнению общества, оспариваемые нормы не соответствуют Конституции Российской Федерации, ее статьям 1 (часть 1), 2, 8, 17 (части 1 и 3), 18, 19 (часть 1), 34 (часть 1), 35 (часть 1), 45, 46 (часть 1) и 55 (часть 3), поскольку они, в том числе во взаимосвязи с иными нормативными положениями, позволяют истребовать бездокументарные ценные бумаги несмотря на пропуск срока исковой давности, неправильно рассчитывать начало течения этого срока и признавать требование о его применении, заявленное ответчиком, в качестве злоупотребления правом, отказывать в признании стороны спора добросовестным приобретателем акций и не учитывать наличие такого статуса при разрешении конкретного дела.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«МетаХолдинг»,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