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823246-О/2025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«ИВА» на нарушение его конституционных прав статьями 154, 166 и 170–173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«ИВА»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«ИВА» (далее также – ООО «ИВА») оспаривает конституционность статей 154 «Порядок определения налоговой базы при реализации товаров (работ, услуг)», 166 «Порядок исчисления налога», 170 «Порядок отнесения сумм налога на затраты по производству и реализации товаров (работ, услуг)», 171 «Налоговые вычеты», 172 «Порядок применения налоговых вычетов» и 173 «Сумма налога, подлежащая уплате в бюджет» главы 21 «Налог на добавленную стоимость» Налогового кодекса Российской Федерации. Как следует из представленных материалов, вступившими в законную силу актами арбитражных судов отказано в признании недействительным 2 решения налогового органа о привлечении заявителя к налоговой ответственности. При этом суды пришли к выводу, что им осуществлен формальный перенос части выручки от предпринимательской деятельности на подконтрольные организации, позволивший получить необоснованную налоговую выгоду; кроме того, суды признали обоснованным произведенный налоговым органом расчет размера налоговой задолженности. По мнению ООО «ИВА», оспариваемые законоположения противоречат статьям 19, 34, 35 и 57 Конституции Российской Федерации, поскольку по смыслу, придаваемому им правоприменительной практикой, позволяют произвольно определять размер налоговой обязанности налогоплательщика при сходных фактических обстоятельствах.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установленная Конституцией Российской Федерации обязанность каждого платить законно установленные налоги и сборы (статья 57) предполагает, что налогоплательщик не вправе распоряжаться по своему усмотрению той частью принадлежащего ему имущества, которая в виде определенной денежной суммы подлежит взносу в казну, а соответствующие органы публичной власти наделены правомочием в односторонне-властном порядке, путем государственного принуждения взыскивать с лица причитающиеся налоговые суммы (постановления от 14 июля 2005 года № 9- П, от 8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«ИВА»,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