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824798-О/2025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Группа Компаний «Промресурс» на нарушение его конституционных прав подпунктом 8 пункта 1 статьи 265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Группа Компаний «Промресурс»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Группа Компаний «Промресурс» (далее также – ООО ГК «Промресурс») оспаривает конституционность подпункта 8 пункта 1 статьи 265 Налогового кодекса Российской Федерации, в соответствии с которым в состав внереализационных расходов, не связанных с производством и реализацией, включаются обоснованные затраты на осуществление деятельности, непосредственно не связанной с производством и (или) реализацией, в том числе расходы на ликвидацию выводимых из эксплуатации основных средств, на списание нематериальных активов, включая суммы недоначисленной в соответствии с 2 установленным сроком полезного использования амортизации, а также расходы на ликвидацию объектов незавершенного строительства и иного имущества, монтаж которого не завершен (расходы на демонтаж, разборку, вывоз разобранного имущества), охрану недр и другие аналогичные работы, если иное не установлено статьей 2674 данного Кодекса. Как следует из представленных материалов, вступившими в законную силу актами арбитражных судов ООО ГК «Промресурс» отказано в признании недействительным решения налогового органа в части доначисления налога на прибыль организаций. При этом суды в том числе пришли к выводу о том, что налогоплательщиком необоснованно включены в состав расходов затраты по созданию объекта незавершенного строительства, поскольку данный объект не отвечал признакам основного средства, а соответственно, понесенные расходы не были связаны с деятельностью, направленной на получение дохода. По мнению заявителя, оспариваемое законоположение противоречит статьям 15, 18, 19 и 57 Конституции Российской Федерации, поскольку по смыслу, придаваемому ему правоприменительной практикой, не позволяет учитывать в составе расходов по налогу на прибыль организаций затраты на создание списанных объектов незавершенного строительства.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Группа Компаний «Промресурс»,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