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Первичной профсоюзной организации – Независимого профсоюза «Профсвобода» работников ОАО «Сургутнефтегаз» Межрегионального профсоюза работников нефте-газо- горнодобывающей и перерабатывающей промышленности Объединения профсоюзов России СОЦПРОФ на нарушение конституционных прав положениями статей 57, 74 и 150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Первичной профсоюзной организации – Независимого профсоюза «Профсвобода»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Первичная профсоюзная организация – Независимый профсоюз «Профсвобода»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 оспаривает 2 конституционность следующих положений Трудового кодекса Российской Федерации: статьи 57, а фактически абзаца пятого ее части второй, закрепляющего, что обязательными для включения в трудовой договор являются условия оплаты труда (в том числе размер тарифной ставки или оклада (должностного оклада) работника, доплаты, надбавки и поощрительные выплаты); статьи 74, регулирующей порядок изменения определенных сторонами условий трудового договора по причинам, связанным с изменением организационных или технологических условий труда; статьи 150, а фактически ее части первой, согласно которой при выполнении работником с повременной оплатой труда работ различной квалификации его труд оплачивается по работе более высокой квалификации. По мнению заявителя, оспариваемые нормы, примененные в его деле судом, противоречат Конституции Российской Федерации, в частности ее статьям 19, 37 и 46, поскольку позволяют включать в трудовой договор несколько тарифных ставок, а судам – не признавать изменением трудового договора изменение размера часовой тарифной ставки и не применять положение статьи 150 Трудового кодекса Российской Федерации об оплате работ различной квалификации.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статьи 57 Трудового кодекса Российской Федерации направлено на обеспечение определенности правового положения работника и защиту его интересов, а потому не может расцениваться как нарушающее его права (Определение Конституционного Суда Российской Федерации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Первичной профсоюзной организации – Независимого профсоюза «Профсвобода»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