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837019-О/2025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Горелкина Александра Владимировича на нарушение его конституционных прав пунктом 1 статьи 10 Гражданского кодекса Российской Федерации и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А.В.Горелкина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рамках дела о несостоятельности (банкротстве) гражданина С. определением арбитражного суда, с которым согласились суды вышестоящих инстанций, по заявлению финансового управляющего был признан недействительным договор купли-продажи транспортного средства, заключенный между должником и гражданином А.В.Горелкиным, применены последствия недействительности сделки. При этом суд исходил, в частности, из того, что оспариваемая сделка совершена в ущерб интересам кредиторов, с целью вывода активов должника, о чем должен был знать А.В.Горелкин. 2 А.В.Горелкин оспаривает конституционность пункта 2 статьи 612 «Оспаривание подозрительных сделок должника» Федерального закона от 26 октября 2002 года № 127-ФЗ «О несостоятельности (банкротстве)» во взаимосвязи с пунктом 1 статьи 10 «Пределы осуществления гражданских прав» ГК Российской Федерации. По мнению заявителя, данные законоположения противоречат статьям 8 (часть 1), 19 (часть 1) и 55 (часть 3) Конституции Российской Федерации в той мере, в какой они по смыслу, придаваемому им правоприменительной практикой, предполагают, что кратное отклонение цены предмета сделки от его кадастровой и (или) рыночной стоимости является самостоятельным и достаточным основанием для квалификации сделки в качестве подозрительной и вывода суда о неосмотрительности приобретателя имущества, а также не предусматривают обязательного установления судом иных обстоятельств, свидетельствующих об осведомленности контрагента о противоправных целях продавца имущества в такой сделке и (или) противоправном характере сделки, бремя доказывания которых возлагается на лицо, требующее признания сделки недействительной.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3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Данные законоположения, направленные на противодействие совершению сделок в целях причинения вреда имущественным правам кредиторов, обеспечивают защиту имущественных интересов кредиторов и, рассматриваемые в том числе во взаимосвязи с пунктом 1 статьи 10 ГК Российской Федерации, устанавливающим запрет на злоупотребление правом и направленным на реализацию принципа, закрепленного в статье 17 (часть 3) Конституции Российской Федерации, не могут расцениваться как нарушающие конституционные права заявителя, указанные в жалобе.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Горелкина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