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816415-О/2025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Гаркайса Яна Константиновича на нарушение его конституционных прав статьями 301, 302 Гражданского кодекса Российской Федерации, главой III1 и статьей 131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Я.К.Гаркайса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гражданки М. и оставленным без изменения постановлениями судов апелляционной и кассационной инстанций, был признан недействительным договор купли-продажи автомобиля, заключенный между должником и гражданином Я.К.Гаркайсом, применены последствия недействительности сделки. При этом суды исходили в частности из того, что сделка совершена между заинтересованными лицами, при наличии у должника признаков неплатежеспособности, в отсутствие равноценного встречного предоставления, в целях причинения вреда имущественным правам кредиторов. 2 Я.К.Гаркайс оспаривает конституционность положений главы III1 «Оспаривание сделок должника» и статьи 131 «Конкурсная масса» Федерального закона от 26 октября 2002 года № 127-ФЗ «О несостоятельности (банкротстве)», а также статей 301 «Истребование имущества из чужого незаконного владения» и 302 «Истребование имущества от добросовестного приобретателя» ГК Российской Федерации. По мнению заявителя, незаконным толкованием и применением данных положений судами в его деле были нарушены его права, гарантированные статьями 2, 17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Гаркайса Яна Константиновича,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