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828199-О/2025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С. на нарушение ее конституционных прав пунктом 2 статьи 51, а также абзацем вторым пункта 1 и пунктом 2 статьи 52 Семейного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С.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 оспаривает конституционность пункта 2 статьи 51 «Запись родителей ребенка в книге записей рождений», а также абзаца второго пункта 1 и пункта 2 статьи 52 «Оспаривание отцовства (материнства)» Семейного кодекса Российской Федерации. Из представленных материалов следует, что решением суда общей юрисдикции, оставленным без изменения определением суда апелляционной инстанции, отказано в удовлетворении иска С., направленного среди прочего на признание совместного заявления гражданки Я. (матери несовершеннолетнего ребенка) и гражданина С. об установлении его отцовства в отношении ребенка недействительным, аннулирование записи акта об установлении отцовства и исключение ребенка из числа наследников. 2 Суды отметили отсутствие доказательств того, что запись внесена на основании подложных документов или в отсутствие свободного волеизъявления С. Кроме того, суды указали на отсутствие оснований для назначения судебной молекулярно-генетической экспертизы. В передаче кассационной жалобы на названные судебные постановления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заявительницы, оспариваемые положения противоречат статьям 2, 17, 18, 19 (часть 1), 35 (части 1, 3 и 4), 45 (часть 1) и 46 (части 1 и 2) Конституции Российской Федерации, поскольку по смыслу, придаваемому им правоприменительной практикой, они не позволяют наследнику оспорить отцовство наследодателя в отношении иного наследника.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С., поскольку она не отвечает требованиям Федерального конституционного 4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