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822279-О/2025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Битова Владимира Александровича на нарушение его конституционных прав абзацем пятым части второй статьи 57 и частью второй статьи 135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В.А.Битова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В.А.Битов оспаривает конституционность следующих положений Трудового кодекса Российской Федерации: абзаца пятого (в жалобе ошибочно назван абзацем 4) части второй статьи 57, закрепляющего, что обязательными для включения в трудовой договор являются условия оплаты труда (в том числе размер тарифной ставки или оклада (должностного оклада) работника, доплаты, надбавки и поощрительные выплаты); части второй статьи 135, согласно которой системы 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2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По мнению заявителя, оспариваемые нормы, примененные в его деле судом, противоречат Конституции Российской Федерации, ее статьям 37 (часть 3) и 46 (часть 1), поскольку позволяют работодателю включать в состав заработной платы (части заработной платы), не превышающей минимального размера оплаты труда, стимулирующие выплаты.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Заработная плата работника в соответствии с Трудовым кодексом Российской Федерации может состоять из вознаграждения за труд, а также компенсационных и стимулирующих выплат (часть первая статьи 129) и зависит от его квалификации, сложности выполняемой работы, количества и качества затраченного труда (часть первая статьи 132). Условие о заработной плате конкретного работника согласовывается и закрепляется в трудовом договоре в соответствии с действующими у данного работодателя системами оплаты труда, устанавливаемыми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(абзац пятый части второй статьи 57, части первая и вторая статьи 135). При этом при установлении системы оплаты труда работодатель должен гарантировать каждому работнику определение его заработной платы с учетом закрепленных в законодательстве критериев, вводить обоснованную дифференциацию оплаты труда, не допускать дискриминации при установлении и изменении условий оплаты труда (часть вторая статьи 132 Трудового кодекса Российской Федерации) и учитывать, что выплаты 3 компенсационного характера призваны компенсировать влияние на работника неблагоприятных производственных факторов, а стимулирующие выплаты должны выполнять функцию побуждения работника к высокопроизводительному труду, повышению эффективности трудовой деятельности (определения Конституционного Суда Российской Федерации от 1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Битова Владимира Александровича,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