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815577-О/2025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Кармадоновой Юлии Александровны на нарушение ее конституционных прав частью первой статьи 392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Ю.А.Кармадоновой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Ю.А.Кармадонова оспаривает конституционность части первой статьи 392 Трудового кодекса Российской Федерации, согласно которой 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права, а по спорам об увольнении –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2 деятельности (статья 661 данного Кодекса) у работодателя по последнему месту работы. По мнению заявительницы, оспариваемая норма, примененная в ее деле судом, противоречит Конституции Российской Федерации, в частности ее статьям 15 (часть 1 и 2), 17 (часть 1), 18, 19 (часть 1), 37 (части 4 и 5), 46 (часть 1) и 55 (часть 3), поскольку в связи с отсутствием в ней указания на трехгодичный срок обращения в суд по спору об увольнении после установления судом факта трудовых отношений позволяет отказывать в удовлетворении требования работника о восстановлении на работе ввиду пропуска им месячного срока на обращение в суд с момента установления названного факта.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Кармадоновой Юлии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