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Луньковой Анны Сергеевны на нарушение ее конституционных прав частью первой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А.С.Луньковой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А.С.Лунькова оспаривает конституционность части первой статьи 392 Трудового кодекса Российской Федерации, согласно которой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–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(статья 661 данного Кодекса) у работодателя по последнему месту работы. 2 По мнению заявительницы, оспариваемая норма, примененная в ее деле судом, противоречит Конституции Российской Федерации, в частности ее статьям 15 (части 1 и 2), 17 (часть 1), 18, 19 (часть 1), 37 (части 4 и 5), 46 (часть 1) и 55 (часть 3), поскольку в связи с отсутствием в ней указания на трехгодичный срок обращения в суд по спору об увольнении после установления судом факта трудовых отношений позволяет отказывать в удовлетворении требования работника о восстановлении на работе ввиду пропуска им месячного срока на обращение в суд с момента установления названного факта.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Луньковой Анны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