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815575-О/2025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Хасанова Тамирлана Азатовича на нарушение его конституционных прав статьями 392 и 393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Т.А.Хасанова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Т.А.Хасанов оспаривает конституционность следующих положений Трудового кодекса Российской Федерации: статьи 392, закрепляющей сроки обращения в суд за разрешением индивидуального трудового спора и порядок их восстановления в случае пропуска; статьи 393, согласно которой при обращении в суд с иском по требованиям, вытекающим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работники освобождаются от оплаты пошлин и судебных расходов. 2 По мнению заявителя, оспариваемые нормы противоречат статьям 15, 19, 46, 120 и 123 Конституции Российской Федерации, поскольку по смыслу, придаваемому правоприменительной практикой, статья 392 Трудового кодекса Российской Федерации позволяет суду по собственной инициативе восстанавливать пропущенный истцом (работодателем) срок обращения в суд, а его статья 393 распространяется только на работников, подавших иск к работодателю, не предусматривая освобождения работника от оплаты судебных расходов в случае подачи иска работодателем.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392 Трудового кодекса Российской Федерации, закрепляя условия, порядок и сроки обращения в суд как для работника, так и для работодателя, призвана гарантировать им возможность реализации права на индивидуальные трудовые споры (статья 37, часть 4, Конституции Российской Федерации). Предусмотренные данной статьей сроки для обращения в суд выступают в качестве одного из необходимых правовых условий для достижения оптимального согласования интересов сторон трудовых отношений, направлены на быстрое и эффективное восстановление нарушенных прав. Предоставление суду права восстановить пропущенный по уважительной причине срок не означает, что он действует произвольно без учета и проверки всей совокупности обстоятельств конкретного дела, не позволивших работнику или работодателю своевременно обратиться в суд за разрешением спора. Таким образом, оспариваемое законоположение, направленное на поддержание баланса прав и интересов сторон трудового правоотношения, а также обеспечение их права на судебную защиту с целью предоставления равного доступа к правосудию, не может расцениваться как нарушающее права заявителя в указанном в жалобе аспекте. Статья 393 Трудового кодекса Российской Федерации обеспечивает право работника на судебную защиту с целью предоставления ему равного с 3 работодателем доступа к правосудию, носит гарантийный характер и не может рассматривается как нарушающая права работников. Разрешение же вопроса о возможности предоставления соответствующей гарантии по иску работодателя к работнику, на чем, как следует из материалов жалобы, настаивает заявитель, а равно проверка обоснованности судебных решений, принятых по его делу,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Хасанова Тамирлана Азатовича,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