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828152-О/2025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Ш. на нарушение его конституционных прав пунктом 1 статьи 52 Семейного кодекса Российской Федерации и пунктом 1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Ш.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Ш. оспаривает конституционность пункта 1 статьи 52 «Оспаривание отцовства (материнства)» Семейного кодекса Российской Федерации и пункта 1 части первой статьи 134 «Отказ в принятии искового заявления» ГПК Российской Федерации. Из представленных материалов следует, что определением судьи суда общей юрисдикции, оставленным без изменения определением суда апелляционной инстанции, отказано в принятии искового заявления Ш. об оспаривании отцовства его отца (наследодателя) в отношении гражданки Р. Судья отметил, что заявитель ни в соответствии с ранее действовавшим законодательством, ни по правилам Семейного кодекса Российской Федерации не вправе оспаривать произведенную в 1973 году запись 2 наследодателя, состоявшего в браке с матерью Р., в качестве отца Р. в книге записей рождений. В передаче кассационной жалобы на названные определения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статьям 1, 2, 17–19, 35 (часть 4) и 46 (части 1 и 2) Конституции Российской Федерации, поскольку по смыслу, придаваемому им правоприменительной практикой, они позволяют отказывать в принятии искового заявления, направленного на аннулирование записи об отцовстве наследодателя в отношении наследника и предъявленного другим наследником, несмотря на сомнения в происхождении первого наследника от наследодателя и наличие оснований полагать, что при составлении записи был нарушен закон.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