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Жарика Александра Михайловича на нарушение его конституционных прав частью первой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А.М.Жарика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А.М.Жарик оспаривает конституционность части первой статьи 392 Трудового кодекса Российской Федерации, согласно которой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–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(статья 661 данного Кодекса) у работодателя по последнему месту работы. 2 По мнению заявителя, оспариваемая норма, примененная в его деле судом, не соответствует Конституции Российской Федерации, в частности ее статьям 19 (части 1 и 2), 37 (части 1, 3 и 4), 46 и 120, поскольку по смыслу, придаваемому ей правоприменительной практикой в системе действующего правового регулирования, позволяет судам отказывать в удовлетворении исковых требований работника в связи с пропуском предусмотренного ею месячного срока на основании того, что требование о признании увольнения незаконным было заявлено истцом не при подаче иска, а в процессе его рассмотрения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Предусмотренный частью первой статьи 392 Трудового кодекса Российской Федерации месячный срок для обращения в суд по спорам об увольнении выступает в качестве одного из необходимых правовых условий для достижения оптимального согласования интересов сторон трудовых отношений и направлен на быстрое и эффективное восстановление нарушенных прав работника. Связывая начало течения месячного срока для обжалования увольнения с работы не с днем, когда лицо узнало или должно было узнать о нарушении своего права, а – в исключение из общего правила – с днем вручения работнику копии приказа об увольнении либо с днем выдачи трудовой книжки, законодатель исходил из того, что работник именно в этот день узнает о возможном нарушении своих трудовых прав и что своевременность обращения в суд за разрешением спора об увольнении зависит от его волеизъявления. Часть пятая этой статьи предоставляет возможность лицам, не реализовавшим свое право на обращение в суд в установленный срок по уважительным причинам, восстановить этот срок в судебном порядке. При этом суд, оценивая обоснованность требований работника, действует не произвольно, а проверяет и учитывает всю совокупность обстоятельств 3 конкретного дела, в том числе содержание исковых требований работника. Следовательно, оспариваемое законоположение в системе действующего правового регулирования выступает необходимым элементом механизма, позволяющего работнику обратиться в суд за защитой нарушенного права, и не может расцениваться как нарушающее права заявителя. Как следует из жалобы, нарушение своих прав А.М.Жарик связывает не с содержанием оспариваемого им законоположения, а с вынесенными по его делу судебными постановлениями. Однако осуществление контроля за деятельностью правоприменительных органов, включая суды общей юрисдикции, равно как и установление в конкретном деле заявителя момента, с которого должен исчисляться срок для обращения в суд,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Жарика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