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810496-О/2024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Станислава Анатольевича на нарушение его конституционных прав пунктами 1 и 2 статьи 10, статьями 168, 319, пунктом 4 статьи 329, пунктами 1 и 2 статьи 330, пунктом 1 статьи 333, статьей 395 и пунктом 2 статьи 453 Гражданского кодекса Российской Федерации, а также статьями 55–57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С.А.Пономарева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с которым согласились суды вышестоящих инстанций, отказано в удовлетворении исковых требований гражданина С.А.Пономарева о взыскании неосновательного обогащения вследствие переплаты по договору лизинга, а также процентов за пользование чужими денежными средствами. Суд исходил из отсутствия оснований для взыскания неосновательного обогащения, установив, в частности, что в связи с допущенной просрочкой в уплате лизингового платежа и начислением предусмотренной договором штрафной неустойки, 2 на момент расторжения договора лизинга у истца образовалась задолженность перед ответчиком, при этом стороны пришли к соглашению о расторжении договора лизинга и заключении договора купли-продажи с учетом всех внесенных истцом платежей. По мнению С.А.Пономарева, пункты 1 и 2 статьи 10 «Пределы осуществления гражданских прав», статьи 168 «Недействительность сделки, нарушающей требования закона или иного правового акта» и 319 «Очередность погашения требований по денежному обязательству», пункт 4 статьи 329 «Способы обеспечения исполнения обязательств», статья 330 «Понятие неустойки», пункт 1 статьи 333 «Уменьшение неустойки», статья 395 «Ответственность за неисполнение денежного обязательства» и пункт 2 статьи 453 «Последствия изменения и расторжения договора» ГК Российской Федерации, а также статьи 55 «Доказательства», 56 «Обязанность доказывания» и 57 «Представление и истребование доказательств» ГПК Российской Федерации не соответствуют Конституции Российской Федерации, в том числе ее статьям 19 (часть 1), 46 (часть 1), 123 (часть 3) и 126.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 заявителя, приведенные в обоснование своей позиции, в том числе касающиеся истолкования понятий «проценты» и «неустойка», оценки судами правомерности и действительности условий договора, устанавливающих очередность погашения требований по денежному обязательству, а также неприменения судами пункта 4 статьи 329 ГК Российской Федерации, отсутствия проверки добросовестности действий ответчика, несогласия с расчетом, представленным ответчиком, допустимости принятия судами указанного расчета в качестве доказательства, обоснованности начисления штрафной неустойки, соразмерности и добровольного характера ее уплаты, свидетельствуют о том, что, формально оспаривая конституционность указанных законоположений, 3 он связывает нарушение своих прав не с их содержанием, а фактически предлагает Конституционному Суду Российской Федерации оценить обоснованность правоприменительных решений по конкретному делу с учетом его обстоятельств. Между тем исследование фактических обстоятельств конкретного дела, оценка доказательств, а также проверка правильности выбора и применения правовых норм с учетом таких обстоятельств не относятся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Станислава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