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816885-О/2025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Кислицыной Татьяны Борисовны на нарушение ее конституционных прав статьей 384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Т.Б.Кислицыной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Т.Б.Кислицына (индивидуальный предприниматель) оспаривает конституционность статьи 384 ГК Российской Федерации, а фактически – ее пункта 1, согласно которому, 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другие связанные с требованием права, в том числе право на проценты. Из представленных материалов следует, что решением арбитражного суда, с которым согласились суды вышестоящих инстанций, отказано в 2 удовлетворении исковых требований Т.Б.Кислицыной о взыскании неосновательного обогащения за пользование кровлей здания, процентов за пользование чужими денежными средствами. Суды исходили, в частности, из того, что из буквального толкования положений договора аренды во взаимосвязи с аукционной документацией по продаже спорного здания следует, что условие о необходимости предоставления места для размещения оборудования при обратной аренде здания не подразумевает взимания дополнительной платы за пользование частью кровли, что должным образом согласовано сторонами при заключении договора аренды. При приобретении здания заявительнице было достоверно известно о том, что в отношении здания имеется обременение в виде аренды в пользу банка на 10 лет с предоставлением арендатору места на кровле здания, а также указали, что новый собственник как новый арендодатель не приобретает новых прав по договору, смена собственника объекта недвижимости не является основанием для изменения договорных позиций арендодателя и арендатора. По мнению Т.Б.Кислицыной, оспариваемое положение противоречит статье 35 Конституции Российской Федерации в той мере, в какой оно по смыслу, придаваемому ему правоприменительной практикой, предполагает повышенную защиту прав арендатора, умаляя права нового собственника (арендодателя) при предоставлении арендатору права безвозмездного пользования имуществом, на которое должен распространяться договор аренды, при отсутствии документального оформления соответствующего права, а также указания на безвозмездное пользование имуществом.</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Пункт 1 статьи 384 ГК Российской Федерации с учетом конституционно значимого принципа свободы договора имеет целью обеспечение определенности правового положения, а также установление справедливого баланса интересов участников обязательственных правоотношений, в том числе нового и первоначального кредиторов в 3 обязательстве (определения Конституционного Суда Российской Федерации от 30 ноября 2021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Кислицыной Татьяны Борисовны,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