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806653-О/2024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Александрова Юрия Николаевича на нарушение его конституционных прав положениями статей 152 и 153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Ю.Н.Александрова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Ю.Н.Александров оспаривает конституционность следующих норм Трудового кодекса Российской Федерации: статьи 152, содержащей правила оплаты сверхурочной работы и, в частности, предусматривающей, что 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указанного Кодекса, не учитывается при определении продолжительности сверхурочной работы, подлежащей оплате в повышенном размере в соответствии с частью первой статьи 152 (часть третья); 2 статьи 153, устанавливающей правила оплаты труда в выходные и нерабочие праздничные дни, в том числе закрепляющей, что для работников, получающих оклад (должностной оклад), оплата производится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(абзац четвертый части первой). По мнению заявителя, оспариваемые нормы Трудового кодекса Российской Федерации не соответствуют статьям 18, 37 (части 2 и 3) и 55 (часть 3) Конституции Российской Федерации, поскольку не обеспечивают справедливую оплату сверхурочной работы при ее осуществлении в выходные и нерабочие праздничные дни.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Указанный годичный срок (пропуск которого выступает в качестве самостоятельного обстоятельства, исключающего допустимость обращения в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Александрова Юрия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