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815580-О/2025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Квитанцева Александра Сергеевича на нарушение его конституционных прав частью 1 статьи 153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А.С.Квитанцева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А.С.Квитанцев, с которого в пользу управляющей многоквартирным домом организации взыскана задолженность по оплате жилищно-коммунальных услуг, оспаривает конституционность части 1 статьи 153 Жилищного кодекса Российской Федерации, закрепляющей, что граждане и организации обязаны своевременно и полностью вносить плату за жилое помещение и коммунальные услуги. По мнению заявителя, названная норма противоречит взаимосвязанным положениям пункта 1 статьи 2, пункта 2 статьи 3, статьи 128 и пункта 2 статьи 307 ГК Российской Федерации, преамбулы Закона 2 Российской Федерации от 7 февраля 1992 года № 2300-I «О защите прав потребителей» и статьи 195 ГПК Российской Федерации, ввиду чего не соответствует статьям 15 (часть 2), 35 (части 1 и 3) и 120 (часть 1) Конституции Российской Федерации. В жалобе отмечено, что отсутствие в части 1 статьи 153 Жилищного кодекса Российской Федерации указания о том, кому должна вноситься плата, создает правовую неопределенность и влечет произвольное применение этого нормативного положения.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части 1 статьи 153 Жилищного кодекса Российской Федерации правило направлено на поддержание дома в состоянии, соответствующем санитарным и техническим требованиям, обеспечивает сохранение условий для осуществления прав собственности и на жилище (статья 35; статья 40, часть 1, Конституции Российской Федерации) и не предусматривает обязанности собственника жилого помещения оплачивать услуги, которые не были оказаны либо были оказаны без законных на то оснований. Положения законодательства, регулирующие отношения по оказанию жилищно-коммунальных услуг, действуют не изолированно и находятся в системной связи. Так, по общему правилу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коммунальные услуги вносят этой управляющей организации (часть 7 статьи 155 Жилищного кодекса Российской Федерации). Следовательно, оспариваемая норма не может рассматриваться в качестве нарушающей конституционные права заявителя, в деле с участием которого судами был исследован и отвергнут довод об отсутствии у него договорных отношений с управляющей организацией. 3 Установление же и оценка фактических обстоятельств конкретного дела, а также проверка правильности применения части 1 статьи 153 Жилищного кодекса Российской Федерации – с учетом этих обстоятельств –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Квитанцева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