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810342-О/2024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Аматуни Левона Арташесовича на нарушение его конституционных прав абзацем четырнадцатым статьи 3 Федерального закона «О противодействии легализации (отмыванию) доходов, полученных преступным путем, и финансированию терроризма»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Л.А.Аматуни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Л.А.Аматуни оспаривает конституционность абзаца четырнадцатого статьи 3 Федерального закона от 7 августа 2001 года № 115- ФЗ «О противодействии легализации (отмыванию) доходов, полученных преступным путем, и финансированию терроризма», согласно которому под идентификацией понимается совокупность мероприятий по установлению определенных данным Федеральным законом сведений о клиентах, их представителях, выгодоприобретателях, бенефициарных владельцах и подтверждению достоверности этих сведений с использованием оригиналов 2 документов и (или) надлежащим образом заверенных копий и (или) государственных и иных информационных систем. Из представленных материалов следует, что вступившим в законную силу решением Верховного Суда Российской Федерации Л.А.Аматуни отказано в удовлетворении административного искового заявления о признании недействующим абзаца четвертого письма Банка России от 28 августа 2020 года в части разъяснения о правомочности негосударственного пенсионного фонда использовать для идентификации клиента документ, подписанный простой электронной подписью. Суд указал, что оспариваемое письмо не обладает свойствами нормативности, а финансовые организации самостоятельно определяют способ заверения копии документов в целях противодействия легализации доходов, полученных преступным путем. По мнению заявителя, оспариваемое законоположение не соответствует статьям 2, 17 (часть 3), 18, 19 (часть 1), 45 (часть 2), 55 (часть 3), 60 и 751 Конституции Российской Федерации, поскольку допускает использование простой электронной подписи для подтверждения достоверности сведений, предоставляемых финансовым организациям, в целях идентификации клиентов.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положение Федерального закона «О противодействии легализации (отмыванию) доходов, полученных преступным путем, и финансированию терроризма» содержит дефиницию понятия «идентификация», используемую для целей данного Федерального закона, и не определяет способы подтверждения достоверности сведений о клиентах финансовых организаций с использованием оригиналов документов, а также не устанавливает требования к надлежащему заверению копий соответствующих документов. Следовательно, данная норма не может расцениваться как нарушающая конституционные права заявителя в указанном им аспекте. 3 Таким образом,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Аматуни Левона Арташесовича,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