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837657-О/2025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публичного акционерного общества «Мурманскпромстрой» на нарушение его конституционных прав статьей 379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А.В.Коновалова, М.Б.Лобова, Н.В.Мельникова, В.А.Сивицкого, рассмотрев вопрос о возможности принятия жалобы публичного акционерного общества «Мурманскпромстрой»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Публичное акционерное общество «Мурманскпромстрой» (далее также – ПАО «Мурманскпромстрой») оспаривает конституционность статьи 379 «Возмещение гаранту сумм, выплаченных по независимой гарантии» ГК Российской Федерации. Как следует из представленных материалов, решением арбитражного суда, с которым согласились суды вышестоящих инстанций, удовлетворены исковые требования банка о взыскании с ПАО «Мурманскпромстрой» задолженности по договору о предоставлении банковских гарантий в виде платы за отвлечение денежных средств по гарантии. В передаче 2 кассационной жалобы заявителя для рассмотрения в судебном заседании Судебной коллегии по экономическим спорам Верховного Суда Российской Федерации отказано. По мнению заявителя, статья 379 ГК Российской Федерации не соответствует статьям 2, 8, 19, 35, 45 и 46 Конституции Российской Федерации, поскольку в силу неопределенности своего содержания допускает произвольное толкование права гаранта на получение от принципала платы за отвлечение гарантом денежных средств по независимой гарантии, в частности, в ситуации злоупотребления бенефициаром своими правами при предъявлении требования к гаранту о выплате денежных средств по гарантии, отсутствия со стороны принципала каких-либо нарушений обеспеченного независимой гарантией основного обязательства, а также отсутствия у принципала обязательств перед гарантом по возмещению выплаченных ранее гарантом бенефициару денежных средств по гарантии. ПАО «Мурманскпромстрой» также просит пересмотреть судебные акты по делу с его участием.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379 ГК Российской Федерации с учетом конституционно значимого принципа свободы договора обеспечивают баланс интересов гаранта и принципала и не могут расцениваться как нарушающие в обозначенном в жалобе аспекте конституционные права ПАО «Мурманскпромстрой». При этом данные положения во взаимосвязи с иными положениями Гражданского кодекса Российской Федерации, в том числе о банковской гарантии, не исключают требований принципала к бенефициару о возмещении убытков, вызванных недобросовестным поведением последнего при получении денежных средств по банковской гарантии. Установление же фактических обстоятельств конкретного дела, оценка доказательств и проверка правильности применения правовых норм с учетом 3 указанных обстоятельств, а также разрешение иных вопросов, поставленных в жалобе, в силу статьи 125 Конституции Российской Федерации и статьи 3 Федерального конституционного закона «О Конституционном Суде Российской Федерации» к компетенции Конституционного Суда Российской Федерации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публичного акционерного общества «Мурманскпромстрой»,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