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816223-О/2025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Мальцевой Елены Сергеевны на нарушение ее конституционных прав статьями 15 и 1102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Е.С.Мальцевой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Е.С.Мальцева оспаривает конституционность статей 15 «Возмещение убытков» и 1102 «Обязанность возвратить неосновательное обогащение» ГК Российской Федерации. Из представленных материалов следует, что заявительница – собственник земельного участка, относящегося к землям сельскохозяйственного назначения, и коммерческая организация, осуществлявшая строительство линейного объекта на части этого участка, заключили договор о возмещении убытков, рассчитанных исходя из стоимости будущих затрат на восстановление Е.С.Мальцевой плодородия почв (биологическая рекультивация) и предполагаемого на основе бизнес- плана размера неполученных доходов, связанных с выращиванием томатов; 2 указанное возмещение выплачено. Впоследствии коммерческая организация, ссылаясь на нарушение заявительницей условий договора и бизнес-плана (не осуществлена биологическая рекультивация, получена выгода от выращивания пшеницы), обратилась в суд общей юрисдикции с иском о взыскании с Е.С.Мальцевой неосновательного обогащения, который был удовлетворен апелляционным определением, с чем согласились суды кассационной инстанции. По мнению заявительницы, оспариваемые законоположения не соответствуют статье 35 Конституции Российской Федерации, поскольку они позволяют судам рассматривать в качестве неосновательного обогащения денежные суммы, выплаченные согласно условиям договора собственнику земельного участка за причиненный ему ущерб.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15 ГК Российской Федерации, направленная на полное возмещение причиненного вреда, а тем самым – на реализацию провозглашенного в статье 35 (часть 1) Конституции Российской Федерации принципа охраны права частной собственности законом, а также статья 1102 того же Кодекса, закрепляющая правовые последствия неосновательного обогащения и обеспечивающая защиту имущественных прав участников гражданского оборота, сами по себе не могут расцениваться в качестве нарушающих конституционные права заявительницы, в деле с участием которой суды пришли к выводу о несоблюдении ею условий договора и заявленного бизнес-плана, непосредственно влияющих на определение размера убытков. В компетенцию же Конституционного Суда Российской Федерации, определенную в статье 125 Конституции Российской Федерации и статье 3 Федерального конституционного закона «О Конституционном Суде Российской Федерации», установление и исследование фактических обстоятельств конкретного дела не входят. 3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Мальцевой Елены Сергеевны,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