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808810-О/2024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Турушева Максима Владимировича на нарушение его конституционных прав пунктом 1 статьи 461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М.В.Турушева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М.В.Турушев, с которого взысканы убытки, оспаривает конституционность пункта 1 статьи 461 ГК Российской Федерации, согласно которому при изъятии товара у покупателя третьими лицами по основаниям, возникшим до исполнения договора купли-продажи, продавец обязан возместить покупателю понесенные им убытки, если не докажет, что покупатель знал или должен был знать о наличии этих оснований. По мнению М.В.Турушева, оспариваемое положение не соответствует статье 19 (часть 1) и 49 (часть 1) Конституции Российской Федерации в той мере, в какой оно позволяет взыскивать с продавца убытки, понесенные покупателем в связи с изъятием товара третьими лицами, не оговаривая в 2 качестве исключения из общего правила случай, когда причиной такого изъятия являются преступные действия лица, признанного виновным приговором суда после заключения договора купли-продажи.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норма, действуя во взаимосвязи с положениями статьи 460 ГК Российской Федерации, закрепляющими обязанность продавца передать товар свободным от прав третьих лиц и последствия ее неисполнения, и предусматривая ответственность продавца в случае изъятия товара у покупателя, направлена на защиту имущественных прав покупателя как менее информированной стороны договора купли-продажи товара. Пленум Верховного Суда Российской Федерации в пункте 1 постановления от 22 ноября 2016 года № 54 «О некоторых вопросах применения общих положений Гражданского кодекса Российской Федерации об обязательствах и их исполнении» разъяснил, что в случаях, предусмотренных законом или вытекающих из существа обязательства, на сторону может быть возложена обязанность отвечать за наступление или ненаступление определенных обстоятельств, в том числе не зависящих от ее поведения, в частности при изъятии товара у покупателя третьими лицами (пункт 1 статьи 461 ГК Российской Федерации). При этом дополнительной гарантией соблюдения интересов сторон являются правила статьи 462 ГК Российской Федерации, устанавливающие обязанности покупателя и продавца в случае предъявления иска об изъятии товара и последствия их неисполнения. Соответственно, оспариваемая норма не может расцениваться как нарушающая в указанном в жалобе аспекте конституционные права заявителя, который не лишен возможности защитить свои имущественные интересы предусмотренными законом способами. Исследование же фактических обстоятельств конкретного дела, оценка доказательств, а также проверка правильности выбора и применения 3 правовых норм с учетом таких обстоятельств не относится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Турушева Максима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