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806582-О/2024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Кожина Михаила Вячеславовича на нарушение его конституционных прав пунктом 1 статьи 164 и статьей 433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М.В.Кожина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М.В.Кожин оспаривает конституционность пункта 1 статьи 164 «Государственная регистрация сделок» и статьи 433 «Момент заключения договора» ГК Российской Федерации. Как следует из представленных материалов, определением суда апелляционной инстанции решение суда общей юрисдикции, принятое при новом рассмотрении дела, отменено, принято новое решение, согласно которому исковые требования к М.В.Кожину о взыскании задолженности по зарегистрированному в 2020 году договору аренды земельного участка за период с 7 декабря 2017 года по 31 декабря 2019 года и пени частично 2 удовлетворены.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Конституции Российской Федерации, в частности ее статье 46, поскольку по смыслу, придаваемому им правоприменительной практикой, допускают принятие противоречащих решений, а также нарушают право заявителя на судебную защиту.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Кожина Михаила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