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803690-О/2024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Хватова Бориса Валерьевича на нарушение его конституционных прав абзацем третьим пункта 2 статьи 166 и пунктом 2 статьи 209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Б.В.Хватова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Б.В.Хватов оспаривает конституционность абзаца третьего пункта 2 статьи 166 «Оспоримые и ничтожные сделки» во взаимосвязи с пунктом 2 статьи 209 «Содержание права собственности»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удовлетворены исковые требования о выселении, прекращении права пользования жилым помещением, предъявленные к Б.В.Хватову его братом; отказано в удовлетворении встречных требований о признании 2 недействительным договора дарения, заключенного между отцом и братом заявителя, применении последствий недействительности сделки, признании права пользования жилым помещением.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заявителя, оспариваемые во взаимосвязи положения противоречат Конституции Российской Федерации, ее статьям 1, 7, 17 (части 1 и 3), 18, 19, 40, 45, 46 и 118, поскольку они по смыслу, придаваемому им правоприменительной практикой, не позволяют заинтересованному лицу оспорить сделку по отчуждению имущества, а также противоречат принципу правовой определенности в вопросе установления круга заинтересованных лиц, имеющих право на признание оспариваемой сделки недействительной.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Хватова Бориса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