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Б. на нарушение его конституционных прав рядом норм Гражданского процессуального кодекса Российской Федерации и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Б.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 оспаривает конституционность части первой статьи 3 «Право на обращение в суд», части второй статьи 13 «Обязательность судебных постановлений», части второй статьи 61 «Основания для освобождения от доказывания», части второй статьи 209 «Вступление в законную силу решения суда» и абзаца третьего статьи 220 «Основания прекращения производства по делу» ГПК Российской Федерации, а также пункта 3 статьи 48 «Установление происхождения ребенка», статьи 49 «Установление отцовства в судебном порядке», пунктов 1 и 2 статьи 51 «Запись родителей ребенка в книге записей рождений» Семейного кодекса Российской Федерации. 2 Определением суда общей юрисдикции, оставленным без изменения судом апелляционной инстанции, прекращено производство по делу об оспаривании Б. его отцовства, поскольку суды пришли к выводу о наличии вступившего в законную силу решения суда по тождественному спору. Кассационный суд общей юрисдикции отменил определения судов нижестоящих инстанций и направил дело для рассмотрения по существу в суд первой инстанции. Определением Судебной коллегии по гражданским делам Верховного Суда Российской Федерации определение кассационного суда общей юрисдикции отменено и оставлены в силе определения судов первой и апелляционной инстанций. Определением судьи Верховного Суда Российской Федерации отказано в передаче надзорной жалобы заявителя для рассмотрения в судебном заседании суда надзорной инстанции. Письмом заместителя Председателя Верховного Суда Российской Федерации Б. уведомлен об отсутствии оснований для внесения в Президиум Верховного Суда Российской Федерации представления о пересмотре судебных постановлений в порядке надзора. По мнению заявителя, оспариваемые положения в их истолковании Верховным Судом Российской Федерации противоречат Конституции Российской Федерации, поскольку они исключают возможность предъявления иска об оспаривании отцовства после того, как оно было установлено в судебном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48 и статья 49 Семейного кодекса Российской Федерации, определяющие порядок установления происхождения ребенка от конкретного лица (отцовство), рожденного у родителей, не состоящих в браке между собой, призваны обеспечить защиту прав детей, родители которых не состоят в браке между собой, и согласуются с конституционным принципом государственной поддержки и защиты семьи, материнства, 3 отцовства и детства, закрепленным в статьях 7 (часть 2) и 38 (часть 1) Конституции Российской Федерации (определения Конституционного Суда Российской Федерации от 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