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804266-О/2024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Бессмертных Ольги Геннадьевны на нарушение ее конституционных прав частью первой статьи 392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О.Г.Бессмертных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О.Г.Бессмертных оспаривает конституционность части первой статьи 392 (в жалобе ошибочно названа статьей 229) Трудового кодекса Российской Федерации, согласно которой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–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2 увольнением сведений о трудовой деятельности (статья 661 данного Кодекса) у работодателя по последнему месту работы. По мнению заявительницы, оспариваемая норма, примененная в ее деле судом, противоречит Конституции Российской Федерации, ее статьям 15 (части 1 и 2), 17 (часть 1), 18, 19 (часть 1), 37 (части 4 и 5), 46 (часть 1) и 55 (часть 3), поскольку в связи с отсутствием в ней указания на трехгодичный срок обращения в суд по спору об увольнении после установления судом факта трудовых отношений позволяет отказывать в удовлетворении требования работника о восстановлении на работе ввиду пропуска им месячного срока на обращение в суд с момента установления названного факта.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Бессмертных Ольги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