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802574-О/2024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«Речстандарт» на нарушение его конституционных прав частью первой статьи 303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«Речстандарт»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«Речстандарт» (далее также – общество) оспаривает конституционность части первой статьи 303 ГК Российской Федерации, согласно которой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2 должен был узнать о неправомерности владения или получил повестку по иску собственника о возврате имущества. Из представленных материалов следует, что решением арбитражного суда (принятом при новом рассмотрении дела), с которым согласились суды вышестоящих инстанций, с заявителя взыскана сумма неосновательного обогащения в размере доходов, полученных от передачи судов в аренду по договору аренды без экипажа. По мнению общества, оспариваемое положение не соответствует статьям 8 (часть 2), 18, 19 (части 1 и 2), 34 (часть 1), 35 (части 1–3), 55 и 57 Конституции Российской Федерации в той мере, в какой оно создает неопределенность в вопросе корректного определения доходов, подлежащих возврату недобросовестным владельцем, не позволяя учитывать обоснованные расходы на содержание имущества, в том числе суммы уплаченных налогов и расходы на страхование.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«Речстандарт»,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