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802955-О/2024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Борадули Ирины Ивановны на нарушение ее конституционных прав пунктом 1 статьи 200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И.И.Борадули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И.И.Борадуля, осужденная за совершение мошенничества, выразившегося в незаконном приобретении права на квартиру, оспаривает конституционность пункта 1 статьи 200 «Начало течения срока исковой давности» ГК Российской Федерации. Как следует из представленных материалов, решением суда общей юрисдикции, оставленным без изменения определением суда апелляционной инстанции, в удовлетворении искового требования И.И.Борадули о взыскании неосновательного обогащения, возникшего в результате затрат на содержание, сохранение и ремонт квартиры, полученной заявительницей на основании впоследствии признанного недействительным договора социального найма, а также убытков, вызванных последующим изменением 2 стоимости квартиры, отказано. Суды среди прочего исходили из того, что И.И.Борадулей был пропущен срок исковой давности.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пункт 1 статьи 200 ГК Российской Федерации противоречит Конституции Российской Федерации, ее статьям 2, 18, 19 (части 1 и 2), 35 (часть 1) и 46 (часть 1), поскольку он содержит неопределенные формулировки и позволяет правоприменителю по-разному толковать названное положение.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Борадули Ирины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