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Волынец Кристины Александровны на нарушение ее конституционных прав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К.А.Волынец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К.А.Волынец оспаривает конституционность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апелляционным определением было отменено решение мирового судьи и постановлено новое решение об удовлетворении исковых требований юридического лица к К.А.Волынец о взыскании задолженности по договору займа. 2 Письмом работника аппарата Верховного Суда Российской Федерации кассационная жалоба заявительницы была возвращена ей без рассмотрения по существу. По мнению заявительницы, оспариваемое законоположение противоречит Конституции Российской Федерации, ее статьям 46 и 47, поскольку исключает возможность обжалования в Судебную коллегию по гражданским делам Верховного Суда Российской Федерации судебных постановлений, принятых по делу, подсудному мировому судье. Кроме того, К.А.Волынец просит дать толкование части 24 статьи 5 «Условия договора потребительского кредита (займа)» Федерального закона от 21 декабря 2013 года № 353-ФЗ «О потребительском кредите (займе)» в целях правильного применения ее судами.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Волынец Кристины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