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803949-О/2024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Валютного управления Сингапура на нарушение его конституционных прав пунктом 1 статьи 200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Валютного управления Сингапура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Валютное управление Сингапура оспаривает конституционность пункта 1 статьи 200 ГК Российской Федерации, в соответствии с которым,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Как следует из представленных материалов, вступившими в законную силу актами арбитражных судов отказано в удовлетворении требований Валютного управления Сингапура о взыскании с налогового органа суммы излишне уплаченного налога на прибыль организаций с доходов, 2 полученных в виде дивидендов. При этом суды пришли к выводу о пропуске заявителем срока исковой давности, приняв во внимание момент, когда он узнал (должен был узнать) о факте излишнего удержания налога на прибыль организаций, а также отклонив довод о том, что при исчислении указанного срока необходимо учитывать период, затраченный на реализацию административного порядка возврата налога. По мнению заявителя, оспариваемое законоположение противоречит статье 46 (часть 1) Конституции Российской Федерации, поскольку по смыслу, придаваемому ему правоприменительной практикой, препятствует реализации права на судебную защиту налогоплательщиком, соблюдавшим административный порядок обращения за возвратом излишне уплаченного налога.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Налоговый кодекс Российской Федерации, предусматривая порядок возврата излишне уплаченных сумм налога (с 1 января 2023 года – денежных средств, формирующих положительное сальдо единого налогового счета), предполагает, по общему правилу, необходимость обращения с соответствующим заявлением в налоговый орган (статья 78 в редакции, действовавшей до 1 января 2023 года, и статья 79 в действующей редакции), действия (бездействие) которого подлежат обжалованию в вышестоящий налоговый орган, а также в суд в порядке и в сроки, предусмотренные налоговым законом и соответствующим процессуальным законом (статьи 138 и 139). С учетом сказанного оспариваемый пункт 1 статьи 200 ГК Российской Федерации, предусматривающий общее правило о течении срока исковой давности и имеющий самостоятельное значение при предъявлении исковых требований в суд, предоставляющий по смыслу, придаваемому ему правоприменительной практикой, возможность реализации налогоплательщиком дополнительного способа судебной защиты прав путем 3 обращения, в том числе в арбитражный суд, с иском о возврате из бюджета излишне уплаченной суммы, не может рассматриваться как нарушающий конституционные права заявителя в указанном в жалобе аспекте. Проверка же обоснованности правоприменительных решений, в том числе в части соблюдения заявителем срока исковой давности,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Валютного управления Сингапура,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