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806573-О/2024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С.Е. на нарушение ее конституционных прав статьей 52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С.Е.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С.Е. оспаривает конституционность статьи 52 «Оспаривание отцовства (материнства)» Семейного кодекса Российской Федерации. Из представленных материалов следует, что определением суда общей юрисдикции, оставленным без изменения определением суда апелляционной инстанции, отказано в принятии искового заявления С.Е., направленного на оспаривание записи о гражданине С.Н. (ее дяде) как отце ребенка, родившегося менее чем через месяц после его смерти от матери, состоявшей в браке с С.Н., в книге записи рождений. Суды исходили из того, что заявительница не относится к лицам, которые в соответствии с пунктом 1 статьи 52 Семейного кодекса Российской Федерации могут обратиться в суд 2 с таким требованием. В передаче кассационной жалобы на названные определения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статья 52 Семейного кодекса Российской Федерации противоречит Конституции Российской Федерации, в частности ее статье 35 (часть 4), поскольку она не позволяет оспаривать в судебном порядке запись об отце ребенка в книге записей рождений, произведенную в соответствии с пунктом 1 статьи 51 данного Кодекса, по требованию наследника лица, записанного в качестве отца ребенка, если отец ребенка, состоявший в браке с его матерью, умер до его рождения.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С.Е.,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