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803915-О/2024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Тишкина Петра Николаевича на нарушение его конституционных прав частью 1 статьи 46 и частью 4 статьи 198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П.Н.Тишкина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П.Н.Тишкин оспаривает конституционность части 1 статьи 46 «Изменение основания или предмета административного иска, отказ от административного иска, признание административного иска, заключение сторонами соглашения о примирении» и части 4 статьи 198 «Порядок вынесения определения суда» КАС Российской Федерации. Как следует из представленных материалов, решением районного суда, с которым согласились вышестоящие суды, П.Н.Тишкину отказано в удовлетворении административного искового заявления об оспаривании действий (бездействия) должностных лиц прокуратуры. Протокольным 2 определением районного суда отказано в удовлетворении его заявления об изменении административных исковых требований. Заявитель полагает, что суд неправомерно отказал в удовлетворении заявления об изменении предмета административного иска, чем нарушил его право на судебную защиту. В связи с этим он просит признать оспариваемые законоположения не соответствующими статьям 18, 24 (часть 2) и 47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административного судопроизводства Российской Федерации, среди прочего, закрепляет право административного истца до принятия судебного акта, которым заканчивается рассмотрение административного дела по существу в суде первой инстанции, изменить основание или предмет административного иска (часть 1 статьи 46), а также предусматривает возможность суда выносить протокольное определение в случаях, когда не требуется вынесение определения в виде отдельного судебного акта (части 3 и 4 статьи 198). При этом в силу пункта 5 части 1 и части 3 статьи 199 КАС Российской Федерации в определении, которое выносится судом в виде протокольного определения, должны быть указаны мотивы, по которым суд пришел к своим выводам, ссылки на законы и иные нормативные правовые акты, которыми руководствовался суд. Такое регулирование не предполагает возможности произвольного отказа в удовлетворении заявления об изменении предмета административного иска. Поэтому оспариваемые законоположения не могут рассматриваться как нарушающие конституционные права заявителя в указанном в его жалобе аспекте. Проверка обоснованности судебных актов, в том числе вынесенного определения по результатам рассмотрения вопроса об изменении предмета административного иска, как связанная с установлением и исследованием фактических обстоятельств, к компетенции Конституционного Суда 3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Тишкина Петра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