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803729-О/2024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Елкиной Натальи Викторовны на нарушение ее конституционных прав положениями Гражданского кодекса Российской Федерации и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Н.В.Елкиной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Н.В.Елкина, которой наряду с другими гражданами отказано в признании недействительными решений внеочередного общего собрания собственников помещений в многоквартирном доме, оспаривает конституционность следующих положений: пунктов 3 и 4 статьи 1 «Основные начала гражданского законодательства» и пунктов 1–3 статьи 10 «Пределы осуществления гражданских прав» ГК Российской Федерации; частей 2, 5 и 6 статьи 45 «Порядок проведения общего собрания собственников помещений в многоквартирном доме», части 1 статьи 47 2 «Общее собрание собственников помещений в многоквартирном доме в форме заочного голосования (опросным путем) и очно-заочного голосования», части 1 статьи 116 «Управление в жилищном кооперативе» и статьи 117 «Общее собрание членов жилищного кооператива» Жилищного кодекса Российской Федерации. По мнению заявительницы, часть 2 статьи 45 Жилищного кодекса Российской Федерации не соответствует Конституции Российской Федерации, ее статьям 2, 17 (часть 3), 18, 19 (часть 1), 40 (часть 2), 45 и 46, в той мере, в какой по своему буквальному смыслу и по смыслу, придаваемому правоприменительной практикой, она позволяет гражданину назначать и проводить внеочередные общие собрания собственников помещений в многоквартирном доме, управляемом жилищно-строительным кооперативом, без учета мнения других собственников помещений в этом доме. Кроме того, Н.В.Елкина полагает, что применение оспариваемых положений в ее конкретном деле противоречит Конституции Российской Федерации, ее статьям 2, 17 (части 1 и 3), 18, 19 (часть 1), 40 (часть 2), 45, 46 (часть 1), 50 (часть 2), 52, 55 (часть 1) и 123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 она, формально оспаривая конституционность перечисленных в жалобе положений, по сути, просит проверить правильность их применения судами в конкретном деле с ее участием. Между тем такая проверка, предполагающая установление и оценку фактических обстоятельств конкретного дела,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Елкиной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