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803694-О/2024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Чернышковой Светланы Леонидовны на нарушение ее конституционных прав статьями 158 и 169–171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С.Л.Чернышковой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С.Л.Чернышкова оспаривает конституционность статей 158 «Расходы собственников помещений в многоквартирном доме», 169 «Взносы на капитальный ремонт общего имущества в многоквартирном доме», 170 «Фонд капитального ремонта и способы формирования данного фонда» и 171 «Особенности уплаты взносов на капитальный ремонт» Жилищного кодекса Российской Федерации. Как следует из представленных материалов, заочным решением мирового судьи с заявительницы взысканы задолженность по уплате взносов на капитальный ремонт общего имущества в многоквартирном доме, пени и 2 судебные расходы. Определением мирового судьи С.Л.Чернышковой отказано в удовлетворении ходатайства о восстановлении пропущенного срока на подачу заявления об отмене этого решения. Другим определением мирового судьи, оставленным без изменения судами вышестоящих инстанций, ей также отказано в удовлетворении ходатайства о восстановлении пропущенного срока на подачу апелляционной жалобы. По мнению заявительницы, оспариваемые нормы противоречат статьям 6 (часть 2), 19 (части 1 и 2) и 57 Конституции Российской Федерации в той мере, в какой не предусматривают запрета повторного взыскания взносов на капитальный ремонт общего имущества в многоквартирном доме за один и тот же период, а также пеней, уплаченных собственником помещения в таком доме в связи с ненадлежащим исполнением обязанности по уплате этих взносов.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3 Между тем представленные судебные постановления не подтверждают исчерпания заявительницей внутригосударственных средств судебной защиты ее прав при разрешении дела с ее участием. Не свидетельствуют материалы обращения и о соблюдении ею срока, предусмотренного пунктом 2 статьи 97 Федерального конституционного закона «О Конституционном Суде Российской Федерации», поскольку с момента принятия заочного решения мирового судьи до обращения С.Л.Чернышковой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Чернышковой Светланы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