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Мезинова Валентина Викторовича на нарушение его конституционных прав положениями статей 106, 107 и 108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В.В.Мезинова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В.В.Мезинов в своем требовании, обращенном к Конституционному Суду Российской Федерации, просит проверить на соответствие статьям 17 (часть 3) и 37 (части 1, 2 и 5) Конституции Российской Федерации статью 106 «Понятие времени отдыха», абзац второй (ошибочно поименованный пунктом 1 части 1) статьи 107 «Виды времени отдыха» и часть третью статьи 108 «Перерывы для отдыха и питания» Трудового кодекса Российской Федерации. По мнению заявителя, оспариваемые нормы, примененные в его деле судами общей юрисдикции, в системе действующего правового 2 регулирования по смыслу, придаваемому им правоприменительной практикой, допускают возможность нарушения работодателем правил внутреннего трудового распорядка организации и трудового договора, не обеспечивая работнику – в тех случаях, когда по условиям производства (работы) предоставление перерыва для отдыха и питания невозможно, – возможность отдыха и приема пищи в рабочее время, а также не предоставляя ему оплату за отработанное время в полном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106 Трудового кодекса Российской Федерации определяет время отдыха как время, в течение которого работник свободен от исполнения трудовых обязанностей и которое он может использовать по своему усмотрению. В дополнение к этому статья 107 Трудового кодекса Российской Федерации устанавливает виды времени отдыха, предоставляемые лицам, работающим по трудовому договору, включая в их число перерывы в течение рабочего дня (смены). В целях надлежащей защиты прав граждан, работающих по трудовым договорам, в силу части третьей статьи 108 Трудового кодекса Российской Федерации 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 (перечень таких работ, а также места для отдыха и приема пищи устанавливаются правилами внутреннего трудового распорядка). Такое правовое регулирование направлено на реализацию права на отдых, гарантированного статьей 37 (часть 5) Конституции Российской Федерации, в равной мере распространяется на всех работников, не предполагает произвольного применения, вследствие чего устанавливающие его нормы не могут рассматриваться как нарушающие конституционные права заявителя. 3 Разрешение же вопроса о том, соблюдалось ли работодателем В.В.Мезинова законодательство о труде, а также локальные нормативные акты, и обеспечивалась ли ему возможность воспользоваться перерывом для отдыха и питания,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Мезинова Валентина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