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хнова Сергея Игнатьевича на нарушение его конституционных прав пунктом 1 статьи 11 Гражданского кодекса Российской Федерации и частью четвертой статьи 1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Трух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Трухнов просит признать не соответствующим Конституции Российской Федерации пункт 1 статьи 11 ГК Российской Федерации, согласно которому защиту нарушенных или оспоренных гражданских прав осуществляет суд, арбитражный суд или третейский суд в соответствии с их компетенцией. Заявитель также оспаривает конституционность части четвертой статьи 11 Трудового кодекса Российской Федерации, в соответствии с которой к отношениям, связанным с использованием личного труда, возникшим на основании гражданско-правового договора, применяются положения 2 трудового законодательства и иных актов, содержащих нормы трудового права, если такие отношения в порядке, установленном данным Кодексом, другими федеральными законами, были признаны трудовыми. По мнению С.И.Трухнова, оспариваемые нормы, примененные в его деле судом, противоречат статьям 7, 17 (часть 1), 18, 37 (части 3 и 4), 46 (часть 1), 55, 75 (часть 5) и 751 Конституции Российской Федерации, поскольку позволяют не признавать трудовыми отношения, связанные с использованием личного труда, и не применять к ним трудовое законодательство и иные акты, содержащие нормы трудового права, а также умаляют право работника на предоставление ему документов, связанных с работой, для включения периодов работы в специальный стаж, дающий право на досрочное назначение пен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1 ГК Российской Федерации, предусматривающий возможность защиты нарушенных или оспоренных гражданских прав государственным или третейским судом, развивает положения статей 45 (часть 2) и 46 (часть 1) Конституции Российской Федерации, непосредственно не регулирует выдачу работникам документов, связанных с работой, и не может расцениваться как нарушающий конституционные права заявителя. Оспариваемая норма Трудового кодекса Российской Федерации имеет целью достижение соответствия между фактически складывающимися отношениями и их юридическим оформлением, направлена на обеспечение баланса конституционных прав и свобод сторон трудового договора, а также надлежащей защиты прав и законных интересов работника как экономически более слабой стороны в трудовом правоотношении, призвана исключить неопределенность в характере отношений, возникших на основании гражданско-правового договора, и правовом положении сторон такого договора, а потому не может рассматриваться как нарушающая права 3 заявителя, которому суд отказал в удовлетворении требования об установлении факта трудовых отношений в определенные период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хнова Сергея Игна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