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814403-О/2025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Румянцева Василия Александровича на нарушение его конституционных прав статьей 139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В.А.Румянцева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В.А.Румянцев оспаривает конституционность статьи 139 Трудового кодекса Российской Федерации, устанавливающей правила исчисления средней заработной платы. По мнению заявителя, оспариваемая норма, примененная в его деле судами общей юрисдикции, противоречит статьям 2, 18, 19, 21 (часть 1), 37, 45, 46 (часть 1), 55, 751 и 123 (часть 3) Конституции Российской Федерации в той мере, в какой она по смыслу, придаваемому правоприменительной практикой, не обеспечивает удовлетворения требования работника о 2 включении в размер средней заработной платы, выплачиваемой работнику за период вынужденного прогула, выплат за оказание медицинской помощи гражданам, у которых выявлена новая коронавирусная инфекция COVID-19.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139 Трудового кодекса Российской Федерации направлена на установление разумных и одинаковых для всех работников правил подсчета средней заработной платы, носит гарантийный характер и не может расцениваться в качестве нарушающей конституционные права работников, в том числе заявителя. Проверка же правильности исчисления размера средней заработной платы В.А.Румянцева, равно как и обоснованности судебных постановлений, вынесенных по его делу,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Румянцева Василия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