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838028-О/2025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апреля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Исаревича Дмитрия Семеновича на нарушение его конституционных прав рядом положений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вопрос о возможности принятия жалобы гражданина Д.С.Исаревича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Д.С.Исаревич оспаривает конституционность следующих норм Трудового кодекса Российской Федерации: абзаца четвертого (в жалобе ошибочно названного абзацем третьим) части первой статьи 121, согласно которому в стаж работы, дающий право на ежегодный основной оплачиваемый отпуск, включается время вынужденного прогула при незаконном увольнении или отстранении от работы и последующем восстановлении на прежней работе; частей первой и четвертой статьи 122, устанавливающих, что оплачиваемый отпуск должен предоставляться работнику ежегодно; отпуск за второй и последующие годы работы может предоставляться в любое время 2 рабочего года в соответствии с очередностью предоставления ежегодных оплачиваемых отпусков, установленной у данного работодателя; части первой статьи 127, предусматривающей, что при увольнении работнику выплачивается денежная компенсация за все неиспользованные отпуска; частей первой и второй статьи 394, согласно которым 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По мнению заявителя, оспариваемые положения в их взаимосвязи не соответствуют статьям 17 (часть 1), 19, 37 (часть 5), 46 (часть 1) и 55 (части 2 и 3) Конституции Российской Федерации, поскольку позволяют работодателю не предоставлять работнику, который был восстановлен на прежней работе по решению суда, неиспользованный им ранее ежегодный оплачиваемый отпуск, компенсация за который была выплачена ему при увольнении.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Д.С.Исаревичем в обоснование своей позиции, свидетельствуют о том, что, формально оспаривая конституционность названных законоположений, он, по сути, выражает несогласие с принятыми по делу с его участием постановлениями судов общей юрисдикции. Между тем установление и исследование фактических обстоятельств конкретного дела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3 Таким образом, жалоба заявителя,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Исаревича Дмитрия Семеновича,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