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815840-О/2025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Романовой Тамары Константиновны на нарушение ее конституционных прав пунктом «б» части 2 статьи 125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Т.К.Романовой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Т.К.Романова, ссылаясь на допущенные, по ее мнению, нарушения при внесении Законом Российской Федерации о поправке к Конституции Российской Федерации от 14 марта 2020 года № 1-ФКЗ «О совершенствовании регулирования отдельных вопросов организации и функционирования публичной власти» изменений в часть 4 статьи 125 Конституции Российской Федерации, оспаривает конституционность пункта «б» части 2 статьи 125 Конституции Российской Федерации, который, как утверждает заявительница, ограничивает полномочия Конституционного Суда Российской Федерации и препятствует защите прав и свобод граждан, а потому не подлежит применению. 2 Кроме того, Т.К.Романова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и Федеральный конституционный закон «О Конституционном Суде Российской Федерации» не наделяют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Романовой Тамары Константиновны, поскольку разрешение поставленных в ней 3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