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802402-О/2024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Каленчука Евгения Александровича на нарушение его конституционных прав пунктом 1 части второй статьи 40110 и частью первой статьи 40111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Е.А.Каленчука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Е.А.Каленчук, осужденный и отбывающий наказание, утверждает, что пункт 1 части второй статьи 40110 «Действия суда кассационной инстанции при поступлении кассационных жалобы, представления» и часть первая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противоречат статьям 45 (часть 1), 46, 47 (часть 1), 50 (часть 3), 55 и 56 (часть 3) Конституции Российской Федерации, поскольку не исключают судебной 2 ошибки при обжаловании приговора и последуюших судебных решений в суды кассационной инстанции. Кроме того, заявитель ходатайствует о восстановлении пропущенного годичного срока на подачу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Указанный годичный срок (пропуск которого выступает в качестве самостоятельного обстоятельства, исключающего допустимость обращения в Конституционный Суд Российской Федерации) является разумным и достаточным для того, чтобы участники судопроизводства могли заблаговременно подготовить жалобу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Каленчука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