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808574-О/2024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Тихоновой Светланы Геннадьевны на нарушение ее конституционных прав федеральными конституционными законами, федеральными законами, а также действиями и решениями судей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С.Г.Тихоновой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С.Г.Тихонова утверждает, что применением норм законодательства, действиями (бездействием) и решениями судей судов общей юрисдикции нарушены права, гарантированные ей статьями 17, 45, 46, 48, 123 и 126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Вопреки требованиям пунктов 6 и 8 части второй статьи 37 Федерального конституционного закона «О Конституционном Суде Российской Федерации», С.Г.Тихоновой в жалобе не конкретизированы нормативные положения, конституционность которых она оспаривает, а также не приведено правовое обоснование их предполагаемой неконституционности. Как следует из жалобы, заявительница прямо ставит перед Конституционным Судом Российской Федерации вопрос о проверке решений судов общей юрисдикции, принятых по уголовному делу, настаивает на признании их не соответствующими законодательству, что не относится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Тихоновой Светланы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