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751615-О/2024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 на нарушение конституционных прав ее несовершеннолетних детей статьей 135 Семейного кодекса Российской Федерации и частью второй статьи 264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П.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П., действующая в интересах своих несовершеннолетних детей, оспаривает конституционность статьи 135 «Изменение даты и места рождения усыновленного ребенка» Семейного кодекса Российской Федерации и части второй статьи 264 «Дела об установлении фактов, имеющих юридическое значение» ГПК Российской Федерации. Из представленных материалов следует, что определением судьи суда общей юрисдикции, оставленным без изменения определением суда апелляционной инстанции, отказано в принятии заявления, в котором П. и другое лицо (А.) просили установить факты, имеющие юридическое значение: место и дату рождения их сына и место рождения их дочери. В 2 обоснование заявления было указано, в частности, что дети родились в разных странах, в том числе с применением суррогатного материнства. Судья отметил, что факты, об установлении которых просили П. и А., ни для них, ни для их несовершеннолетних детей не влекут возникновения, изменения или прекращения личных или имущественных прав; кроме того, сами П. и А. указывают, что эти факты не имели места. Суд апелляционной инстанции отклонил доводы частной жалобы о необходимости применения закона, регламентирующего внесение изменений в акты записи гражданского состояния при усыновлении детей, по аналогии. В передаче кассационной жалобы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нормы противоречат статьям 7 (часть 2), 17 (часть 1), 19 (часть 1), 55 (часть 3) и 72 (пункт «ж1» части 1) Конституции Российской Федерации, поскольку по смыслу, придаваемому им правоприменительной практикой, они не позволяют изменить дату и место рождения ребенка, рожденного суррогатной матерью.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Из права каждого на судебную защиту его прав и свобод, как оно сформулировано в статье 46 Конституции Российской Федерации, не следует возможность выбора гражданином по своему усмотрению любых способов и процедур судебной защиты, особенности которых применительно к отдельным категориям дел определяются, исходя из Конституции Российской Федерации, федеральными законами (определения Конституционного Суда Российской Федерации от 2 июля 2013 года № 1046- О, от 17 февраля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