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581774-П/2021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Никитина Валерия Сергеевича на нарушение его конституционных прав статьями 13 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В.С.Никитина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В.С.Никитин, гражданское дело с участием которого было разрешено судом с учетом обстоятельств, установленных вступившим в законную силу судебным постановлением по другому делу, оспаривает конституционность статей 13 «Обязательность судебных постановлений» и 61 «Основания для освобождения от доказывания» (а фактически – ее части второй) ГПК Российской Федерации. По мнению заявителя, оспариваемые законоположения не соответствуют статьям 19 (части 1 и 2), 46 (часть 1), 55 (часть 3) и 123 (часть 3) Конституции Российской Федерации, поскольку предоставляют судам 2 ничем не ограниченное право произвольного их толкования и применения, позволяя в одном случае признавать обстоятельства, установленные вступившим в законную силу судебным постановлением по ранее рассмотренному делу, как обязательные и не требующие доказывания в отношении лица, не участвовавшего в этом деле, и тем самым лишать его права оспаривать эти обстоятельства в новом судебном процессе, а в другом случае – не признавать обязательными для суда названные обстоятельства, установленные в отношении того же лица, а также лица, участвовавшего в ранее рассмотренном деле, при условии, что эти обстоятельства ими не оспариваются, лишая тем самым этих лиц права не доказывать данные обстоятельства.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статья 13 ГПК Российской Федерации об обязательности судебных постановлений и статья 61 данного Кодекса, предусматривающая освобождение от доказывания вновь в рассматриваемом судом общей юрисдикции деле обстоятельств, которые установлены вступившим в законную силу судебным постановлением, принятым ранее в другом деле, в котором участвовали те же лица (часть вторая), конкретизируют общие положения процессуального законодательства об обязательности вступивших в законную силу постановлений судов общей юрисдикции и, как призванные обеспечить в условиях действия принципа состязательности законность выносимых судом постановлений, во взаимосвязи с другими предписаниями того же Кодекса, в том числе закрепленными в части второй статьи 12, части второй статьи 56, статье 67, части второй статьи 195, не предполагают их произвольного применения, не содержат какой-либо неопределенности, а потому не могут расцениваться как нарушающие конституционные права заявителя, перечисленные в жалобе. 3 Установление же оснований для применения оспариваемых норм в конкретном деле с участием В.С.Никитина связано с исследованием фактических обстоятельств данного дела, является прерогативой соответствующих судов общей юрисдикции и не входит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Никитина Валерия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