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676509-П/2023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Батуры Андрея Николаевича на нарушение его конституционных прав рядом статей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А.Н.Батуры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А.Н.Батура оспаривает конституционность статей 194 «Принятие решения суда», 329 «Постановление суда апелляционной инстанции», 3901 «Определение кассационного суда общей юрисдикции» и 3909 «Определение судьи об отказе в передаче кассационных жалобы, представления для рассмотрения в судебном заседании суда кассационной инстанции» ГПК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А.Н.Батуре отказано в удовлетворении исковых требований к юридическому лицу о восстановлении на работе. Определением судьи Верховного Суда 2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А.Н.Батуры, оспариваемые законоположения противоречат статьям 1 и 46 Конституции Российской Федерации, поскольку позволяют судам не рассматривать должным образом все заявленные в исковом заявлении требования, а также доводы, содержащиеся в апелляционной и кассационных жалобах.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Батуры Андрея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