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649342-П/2022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Козловой Ларисы Вячеславовны на нарушение ее конституционных прав рядом федеральных законов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гражданки Л.В.Козловой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Л.В.Козлова, с которой взыскана задолженность за потребленную электрическую энергию, оспаривает конституционность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Федерации», части первой Гражданского кодекса Российской Федерации, Жилищного кодекса Российской Федерации, Федерального закона от 30 ноября 1994 года 52-ФЗ «О введении в действие части первой Гражданского кодекса Российской Федерации» и Федерального закона от 29 декабря 2004 года № 189-ФЗ «О введении в действие Жилищного кодекса Российской Федерации». 2 По мнению Л.В.Козловой, Федеральный закон «О статусе сенатора Российской Федерации и статусе депутата Государственной Думы Федерального Собрания Российской Федерации» не соответствует статьям 15 (часть 3) и 105 (часть 1) Конституции Российской Федерации, поскольку нарушен порядок его принятия и опубликования. В связи с этим заявительница полагает, что иные оспариваемые ею федеральные законы, примененные судами, были приняты депутатами Государственной Думы и сенаторами Российской Федерации, не имевшими полномочий осуществлять законодательную власть, а потому данные нормативные акты противоречат статьям 4 (часть 2), 15 (часть 1) и 105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Козловой Ларисы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