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499738-П/2020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«Двадцатый Век Фокс СНГ» на нарушение конституционных прав и свобод частью 1 статьи 15.25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«Двадцатый Век Фокс СНГ»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«Двадцатый Век Фокс СНГ» оспаривает конституционность части 1 статьи 15.25 КоАП Российской Федерации, в соответствии с которой осуществление незаконных валютных операций, т.е.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2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Как следует из представленных материалов, постановлением налогового органа от 30 ноября 2018 года заявитель привлечен к административной ответственности в соответствии с частью 1 статьи 15.25 КоАП Российской Федерации в связи с тем, что 28 декабря 2016 года зачислил на свой счет, открытый в банке АО «Citibank Kazakhstan» (Республика Казахстан), иностранную валюту за оказанные услуги на сумму 1 274 520 казахских тенге (232 430,39 руб. по курсу Банка России на дату совершения административного правонарушения), минуя счета в уполномоченных банках Российской Федерации. Ему назначен административный штраф в размере 185 944,31 руб. Решением арбитражного суда от 12 марта 2019 года, оставленным без изменения арбитражными судами апелляционной и кассационной инстанций, ООО «Двадцатый Век Фокс СНГ» отказано в признании данного постановления незаконным и его отмене. Заявитель указывает и на другие эпизоды (более восьмидесяти) привлечения его к административной ответственности в соответствии с частью 1 статьи 15.25 КоАП Российской Федерации при схожих обстоятельствах. По данным эпизодам заявитель в связи со сформированной вышестоящими арбитражными судами практикой по первому делу 3 обжаловал постановления налогового органа только в арбитражном суде первой инстанции. Оснований для признания административных правонарушений, совершенных заявителем, малозначительными арбитражные суды не установили, также как не нашли оснований для снижения размеров назначенных административных штрафов в соответствии с частями 32 и 33 статьи 4.1 КоАП Российской Федерации. По мнению заявителя, оспариваемое законоположение не соответствует статьям 34 (часть 1), 35 (часть 1) и 55 (часть 3) Конституции Российской Федерации в части размера административного штрафа за совершение валютных операций, расчеты по которым произведены, минуя счета в уполномоченных банках, в случаях, не предусмотренных валютным законодательством Российской Федерации. Заявитель также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Российской Федерации гарантируются единство экономического пространства, свободное перемещение товаров, услуг и финансовых средств, свобода экономической деятельности, свободное использование своих способностей и имущества для предпринимательской и иной не запрещенной законом экономической деятельности, а также признание и защита всех форм собственности (статьи 8; 34, часть 1; 35 Конституции Российской Федерации). Данные конституционные предписания не препятствуют законодателю устанавливать специальные правила для участников внешнеэкономической деятельности, направленные на своевременное поступление на территорию Российской Федерации иностранной валюты по 4 внешнеторговым договорам, и предусматривать за их неисполнение соответствующую ответственность. Предусматривая в части 1 статьи 15.25 КоАП Российской Федерации меру административной ответственности за осуществление незаконных валютных операций в виде административного штрафа, законодатель определил его размер не в фиксированной сумме в рублях, а в процентах от суммы незаконной валютной операции (от 75 до 100 процентов от суммы незаконной валютной операции, что соответствует размеру административного штрафа, установленному редакцией данной нормы, примененной в деле заявителя, – от трех четвертей до одного размера суммы незаконной валютной операции). При этом данный Кодекс обязывает правоприменителя принимать во внимание все обстоятельства, имеющие значение для правильного разрешения дела, и назначать административное наказание, в том числе с учетом характера совершенного административного правонарушения, степени вины правонарушителя, а также обстоятельств, смягчающих и отягчающих административную ответственность (статьи 4.1 и 4.2 КоАП Российской Федерации). В соответствии со статьей 4.1 КоАП Российской Федерации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 (часть 3).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5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данного Кодекса, в случае, если минимальный размер административного штрафа для юридических лиц составляет не менее ста тысяч рублей; при этом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данного Кодекса (части 32 и 33 указанной статьи). Кроме того, в случае малозначительности правонарушения, т.е. при отсутствии существенной угрозы охраняемым общественным отношениям, суд вправе освободить виновное лицо от административной ответственности (статья 2.9 КоАП Российской Федерации). Федеральным законом от 20 июля 2020 года № 218-ФЗ статья 15.25 КоАП Российской Федерации дополнена примечанием 7, согласно которому административная ответственность, установленная частями 1 и 4 данной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6 банке, расположенном за пределами территории Российской Федерации, указанная в данном примечании административная ответственность не применяется в отношении суммы таких частично зачисленных денежных средств. Следовательно, оспариваемое законоположение в части предусмотренной им санкции как в действующей, так и в примененной в деле заявителя редакции позволяет назначить индивидуализированное наказание, соразмерное содеянному, и конституционных прав заявителя в указанном в жалобе аспекте не нарушает. Установление же иного правового регулирования административной ответственности за нарушение правил осуществления валютных операций является прерогативой федерального законодателя и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В равной мере к полномочиям Конституционного Суда Российской Федерации не относится оценка обоснованности назначенного заявителю административного наказания.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«Двадцатый Век Фокс СНГ»,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