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32633-П/2004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8 апреля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"Пром Лайн" на нарушение конституционных прав и свобод положением пункта 2 статьи 171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Ю.Д.Рудкина, Н.В.Селезнева, А.Я.Сливы, В.Г.Стрекозова, О.С.Хохряковой, Б.С.Эбзеева, В.Г.Ярославцева, заслушав в пленарном заседании заключение судьи А.Л.Кононова,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"Пром Лайн",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инспекции Министерства Российской Федерации по налогам и сборам № 8 по Владимирской области от 10 декабря 2002 года ООО "Пром Лайн" привлечено к налоговой ответственности за неполную уплату налога на добавленную стоимость, поскольку, по мнению налогового органа, обществом неправомерно рассматривались в виде налоговых вычетов суммы налога на добавленную стоимость, уплаченные поставщику путем зачета встречных требований. Арбитражный суд Владимирской области решением от 13 марта 2003 года, оставленным без изменения постановлением Федерального арбитражного суда Волго-Вятского округа от 21 июля 2003 года, отказал ООО "Пром Лайн" в признании незаконным решения налогового органа. При этом суд установил, что право требования долга от поставщика, участвовавшего в проведении зачета встречных требований, было уступлено обществу другой организацией-кредитором, которая была связана с поставщиком договором займа, однако к моменту проведения с поставщиком зачета встречных требований и принятия сумм налога на добавленную стоимость к вычету ООО "Пром Лайн" (новый кредитор) полученное право требования организации - первоначальному кредитору не оплатило, т.е. встречный платеж за уступленное право требования не осуществило, а значит, не произвело реальные затраты на оплату начисленных ему поставщиком сумм налога, что исключает возможность принятия обществом этих сумм налога к вычету.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57 Конституции Российской Федерации каждый обязан платить законно установленные налоги. Раскрывая и конкретизируя понятие законно установленного налога,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Неконституционность пункта 2 статьи 171 Налогового кодекса Российской Федерации заявитель усматривает в том, что содержащаяся в нем норма не позволяет принять к вычету сумму налога на добавленную стоимость, уплаченную поставщику при зачете взаимных требований в условиях, когда предъявляемое поставщику право требования налогоплательщиком не оплачено предыдущему кредитору, т.е., по сути, требования заявителя сводятся к более полному раскрытию и уточнению понятия фактически уплаченных сумм налога при формах расчетов, не влекущих движение денежных средств.</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Постановлении от 20 февраля 2001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"Пром Лайн",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и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